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Réunion du jeudi 20 septembre 2018</w:t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Quelle anthropologie pour le convivialisme ?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18 h 45 – 22 h 30</w:t>
      </w:r>
    </w:p>
    <w:p>
      <w:pPr>
        <w:pStyle w:val="Normal"/>
        <w:spacing w:before="0" w:after="160"/>
        <w:contextualSpacing/>
        <w:jc w:val="center"/>
        <w:rPr>
          <w:rFonts w:cs="Arial" w:ascii="Arial" w:hAnsi="Arial"/>
          <w:color w:val="500050"/>
          <w:sz w:val="17"/>
          <w:szCs w:val="17"/>
          <w:shd w:fill="FFFFFF" w:val="clear"/>
        </w:rPr>
      </w:pPr>
      <w:r>
        <w:rPr>
          <w:sz w:val="24"/>
          <w:szCs w:val="24"/>
        </w:rPr>
        <w:t>Hôpital Saint Louis, 1 avenue Claude Vellefaux, 75010</w:t>
      </w:r>
      <w:r>
        <w:rPr>
          <w:rFonts w:cs="Arial" w:ascii="Arial" w:hAnsi="Arial"/>
          <w:color w:val="500050"/>
          <w:sz w:val="17"/>
          <w:szCs w:val="17"/>
          <w:shd w:fill="FFFFFF" w:val="clear"/>
        </w:rPr>
        <w:t xml:space="preserve"> </w:t>
      </w:r>
    </w:p>
    <w:p>
      <w:pPr>
        <w:pStyle w:val="Normal"/>
        <w:spacing w:before="0" w:after="1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Métros Goncourt ou Colonel Fabien, ou République, un peu plus loin</w:t>
      </w:r>
    </w:p>
    <w:p>
      <w:pPr>
        <w:pStyle w:val="Normal"/>
        <w:spacing w:before="0" w:after="160"/>
        <w:ind w:left="708" w:righ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ab/>
        <w:t xml:space="preserve">Espace éthique, entrée 9, 1er étage. </w:t>
      </w:r>
    </w:p>
    <w:p>
      <w:pPr>
        <w:pStyle w:val="Normal"/>
        <w:spacing w:before="0" w:after="160"/>
        <w:ind w:left="2124" w:righ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>Contribution aux frais : 20 €.</w:t>
      </w:r>
    </w:p>
    <w:p>
      <w:pPr>
        <w:pStyle w:val="Normal"/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ind w:left="2124" w:right="0" w:firstLine="708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ind w:left="2832" w:right="0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Programme</w:t>
      </w:r>
    </w:p>
    <w:p>
      <w:pPr>
        <w:pStyle w:val="Normal"/>
        <w:spacing w:before="0" w:after="160"/>
        <w:ind w:left="0" w:righ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ind w:left="0" w:righ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h 45 – 20 h : </w:t>
      </w:r>
    </w:p>
    <w:p>
      <w:pPr>
        <w:pStyle w:val="Normal"/>
        <w:spacing w:lineRule="auto" w:line="276" w:before="0" w:after="160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Daniel Bougnoux</w:t>
      </w:r>
      <w:r>
        <w:rPr>
          <w:rStyle w:val="Ancredenotedebasdepage"/>
          <w:b/>
          <w:sz w:val="24"/>
          <w:szCs w:val="24"/>
        </w:rPr>
        <w:footnoteReference w:id="2"/>
      </w:r>
      <w:r>
        <w:rPr>
          <w:sz w:val="24"/>
          <w:szCs w:val="24"/>
        </w:rPr>
        <w:t> : « Comment je viens au convivialisme ». </w:t>
      </w:r>
    </w:p>
    <w:p>
      <w:pPr>
        <w:pStyle w:val="Normal"/>
        <w:spacing w:lineRule="auto" w:line="276" w:before="0" w:after="160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Dany-Robert Dufour</w:t>
      </w:r>
      <w:r>
        <w:rPr>
          <w:rStyle w:val="Ancredenotedebasdepage"/>
          <w:b/>
          <w:sz w:val="24"/>
          <w:szCs w:val="24"/>
        </w:rPr>
        <w:footnoteReference w:id="3"/>
      </w:r>
      <w:r>
        <w:rPr>
          <w:sz w:val="24"/>
          <w:szCs w:val="24"/>
        </w:rPr>
        <w:t> : "Anthropologie libérale </w:t>
      </w:r>
      <w:r>
        <w:rPr>
          <w:i/>
          <w:iCs/>
          <w:sz w:val="24"/>
          <w:szCs w:val="24"/>
        </w:rPr>
        <w:t>vs</w:t>
      </w:r>
      <w:r>
        <w:rPr>
          <w:sz w:val="24"/>
          <w:szCs w:val="24"/>
        </w:rPr>
        <w:t> anthropologie convivialiste".</w:t>
      </w:r>
    </w:p>
    <w:p>
      <w:pPr>
        <w:pStyle w:val="Normal"/>
        <w:spacing w:lineRule="auto" w:line="276" w:before="0" w:after="160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François Flahault</w:t>
      </w:r>
      <w:r>
        <w:rPr>
          <w:rStyle w:val="Ancredenotedebasdepage"/>
          <w:b/>
          <w:sz w:val="24"/>
          <w:szCs w:val="24"/>
        </w:rPr>
        <w:footnoteReference w:id="4"/>
      </w:r>
      <w:r>
        <w:rPr>
          <w:sz w:val="24"/>
          <w:szCs w:val="24"/>
        </w:rPr>
        <w:t> : "Sur l'apport récent des sciences de l'évolution à l'anthropologie".</w:t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Corine Pelluchon</w:t>
      </w:r>
      <w:r>
        <w:rPr>
          <w:rStyle w:val="Ancredenotedebasdepage"/>
          <w:b/>
          <w:sz w:val="24"/>
          <w:szCs w:val="24"/>
        </w:rPr>
        <w:footnoteReference w:id="5"/>
      </w:r>
      <w:r>
        <w:rPr>
          <w:sz w:val="24"/>
          <w:szCs w:val="24"/>
        </w:rPr>
        <w:t> : « Prendre au sérieux la corporéité du sujet. Ce que cela change en anthropologie, en éthique et en politique ».</w:t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20 h – 20 h 45 : Buffet et échanges informels</w:t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20 h 45 – 21 h 45 : discussion des communications.</w:t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160"/>
        <w:ind w:left="567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 h 45 – 22 h 30 : Echanges sur le projet des participations symboliques croisées et des épinglettes A et AH ! </w:t>
      </w:r>
    </w:p>
    <w:p>
      <w:pPr>
        <w:pStyle w:val="Normal"/>
        <w:spacing w:before="0" w:after="160"/>
        <w:contextualSpacing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contextualSpacing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i/>
          <w:iCs/>
        </w:rPr>
        <w:t>La Crise de la représentation </w:t>
      </w:r>
      <w:r>
        <w:rPr/>
        <w:t xml:space="preserve">(La Découverte, 2006) ; </w:t>
      </w:r>
      <w:r>
        <w:rPr>
          <w:i/>
          <w:iCs/>
        </w:rPr>
        <w:t>Aragon, La confusion des genres </w:t>
      </w:r>
      <w:r>
        <w:rPr/>
        <w:t>(Gallimard « L’un et l’autre », 2013) ; </w:t>
      </w:r>
      <w:r>
        <w:rPr>
          <w:i/>
          <w:iCs/>
        </w:rPr>
        <w:t>Shakespeare, Le Choix du spectre</w:t>
      </w:r>
      <w:r>
        <w:rPr/>
        <w:t>(Les Impressions nouvelles, 2016).</w:t>
      </w:r>
    </w:p>
    <w:p>
      <w:pPr>
        <w:pStyle w:val="Notedebasdepage"/>
        <w:spacing w:before="0" w:after="160"/>
        <w:rPr/>
      </w:pPr>
      <w:r>
        <w:rPr/>
      </w:r>
    </w:p>
  </w:footnote>
  <w:footnote w:id="3">
    <w:p>
      <w:pPr>
        <w:pStyle w:val="Normal"/>
        <w:spacing w:before="0" w:after="160"/>
        <w:contextualSpacing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i/>
          <w:iCs/>
        </w:rPr>
        <w:t>La situation désespérée du présent me remplit d'espoir : face à trois délires politiques mortifères, l'hypothèse convivialiste</w:t>
      </w:r>
      <w:r>
        <w:rPr/>
        <w:t>, </w:t>
      </w:r>
      <w:hyperlink r:id="rId1">
        <w:r>
          <w:rPr>
            <w:rStyle w:val="LienInternet"/>
          </w:rPr>
          <w:t>Le Bord de l'eau</w:t>
        </w:r>
      </w:hyperlink>
      <w:r>
        <w:rPr/>
        <w:t xml:space="preserve">, 2016 ; </w:t>
      </w:r>
      <w:r>
        <w:rPr>
          <w:i/>
          <w:iCs/>
        </w:rPr>
        <w:t>Le Délire occidental et ses effets actuels dans la vie quotidienne : travail, loisir, amour</w:t>
      </w:r>
      <w:r>
        <w:rPr/>
        <w:t>, LLL, Pocket, 2017 ;  </w:t>
      </w:r>
      <w:r>
        <w:rPr>
          <w:i/>
          <w:iCs/>
        </w:rPr>
        <w:t>Mandeville</w:t>
      </w:r>
      <w:r>
        <w:rPr/>
        <w:t>, Édition de cinq textes dans la traduction de 1740 revue et corrigée, avec une présentation et une introduction (100 pages), Pocket, Paris, 2017.</w:t>
      </w:r>
    </w:p>
    <w:p>
      <w:pPr>
        <w:pStyle w:val="Normal"/>
        <w:spacing w:before="0" w:after="160"/>
        <w:contextualSpacing/>
        <w:rPr/>
      </w:pPr>
      <w:r>
        <w:rPr/>
      </w:r>
    </w:p>
    <w:p>
      <w:pPr>
        <w:pStyle w:val="Notedebasdepage"/>
        <w:spacing w:before="0" w:after="160"/>
        <w:rPr/>
      </w:pPr>
      <w:r>
        <w:rPr/>
      </w:r>
    </w:p>
  </w:footnote>
  <w:footnote w:id="4">
    <w:p>
      <w:pPr>
        <w:pStyle w:val="Notedebasdepage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i/>
          <w:iCs/>
        </w:rPr>
        <w:t>Le Paradoxe de Robinson. Capitalisme et société</w:t>
      </w:r>
      <w:r>
        <w:rPr/>
        <w:t xml:space="preserve">, Mille et une nuits, 2005 ; </w:t>
      </w:r>
      <w:r>
        <w:rPr>
          <w:i/>
          <w:iCs/>
        </w:rPr>
        <w:t>Le Crépuscule de Prométhée. Contribution à une histoire de la démesure humaine</w:t>
      </w:r>
      <w:r>
        <w:rPr/>
        <w:t>, Mille et une nuits, 2008</w:t>
      </w:r>
      <w:r>
        <w:rPr>
          <w:i/>
          <w:iCs/>
        </w:rPr>
        <w:t>L ; ’Homme, une espèce déboussolée. Anthropologie générale à l’âge de l’écologie</w:t>
      </w:r>
      <w:r>
        <w:rPr/>
        <w:t>, Préface de Lionel Naccache,Fayard, 2018.</w:t>
      </w:r>
    </w:p>
  </w:footnote>
  <w:footnote w:id="5">
    <w:p>
      <w:pPr>
        <w:pStyle w:val="Normal"/>
        <w:spacing w:before="0" w:after="160"/>
        <w:contextualSpacing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i/>
          <w:iCs/>
        </w:rPr>
        <w:t>Les Nourritures . Philosophie du corps politique</w:t>
      </w:r>
      <w:r>
        <w:rPr/>
        <w:t xml:space="preserve">, Seuil, 2015 ; </w:t>
      </w:r>
      <w:r>
        <w:rPr>
          <w:i/>
          <w:iCs/>
        </w:rPr>
        <w:t>Manifeste animaliste. Politiser la cause animale</w:t>
      </w:r>
      <w:r>
        <w:rPr/>
        <w:t xml:space="preserve">, Alma, 2017 ; </w:t>
      </w:r>
      <w:r>
        <w:rPr>
          <w:i/>
          <w:iCs/>
        </w:rPr>
        <w:t>Éthique de la considération,</w:t>
      </w:r>
      <w:r>
        <w:rPr/>
        <w:t> Seuil, 2018. </w:t>
      </w:r>
    </w:p>
    <w:p>
      <w:pPr>
        <w:pStyle w:val="Notedebasdepage"/>
        <w:spacing w:before="0" w:after="16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fr-FR" w:eastAsia="fr-FR" w:bidi="ar-SA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locked="1" w:name="Normal"/>
    <w:lsdException w:qFormat="1" w:unhideWhenUsed="0" w:uiPriority="0" w:semiHidden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uiPriority="0" w:semiHidden="0" w:locked="1" w:name="toc 1"/>
    <w:lsdException w:unhideWhenUsed="0" w:uiPriority="0" w:semiHidden="0" w:locked="1" w:name="toc 2"/>
    <w:lsdException w:unhideWhenUsed="0" w:uiPriority="0" w:semiHidden="0" w:locked="1" w:name="toc 3"/>
    <w:lsdException w:unhideWhenUsed="0" w:uiPriority="0" w:semiHidden="0" w:locked="1" w:name="toc 4"/>
    <w:lsdException w:unhideWhenUsed="0" w:uiPriority="0" w:semiHidden="0" w:locked="1" w:name="toc 5"/>
    <w:lsdException w:unhideWhenUsed="0" w:uiPriority="0" w:semiHidden="0" w:locked="1" w:name="toc 6"/>
    <w:lsdException w:unhideWhenUsed="0" w:uiPriority="0" w:semiHidden="0" w:locked="1" w:name="toc 7"/>
    <w:lsdException w:unhideWhenUsed="0" w:uiPriority="0" w:semiHidden="0" w:locked="1" w:name="toc 8"/>
    <w:lsdException w:unhideWhenUsed="0" w:uiPriority="0" w:semiHidden="0" w:locked="1" w:name="toc 9"/>
    <w:lsdException w:qFormat="1" w:uiPriority="0" w:locked="1" w:name="caption"/>
    <w:lsdException w:qFormat="1" w:unhideWhenUsed="0" w:uiPriority="0" w:semiHidden="0" w:locked="1" w:name="Title"/>
    <w:lsdException w:unhideWhenUsed="0" w:uiPriority="0" w:semiHidden="0" w:locked="1" w:name="Default Paragraph Font"/>
    <w:lsdException w:qFormat="1" w:unhideWhenUsed="0" w:uiPriority="0" w:semiHidden="0" w:locked="1" w:name="Subtitle"/>
    <w:lsdException w:qFormat="1" w:unhideWhenUsed="0" w:uiPriority="0" w:semiHidden="0" w:locked="1" w:name="Strong"/>
    <w:lsdException w:qFormat="1" w:unhideWhenUsed="0" w:uiPriority="0" w:semiHidden="0" w:locked="1" w:name="Emphasis"/>
    <w:lsdException w:unhideWhenUsed="0" w:uiPriority="0" w:semiHidden="0" w:locked="1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02eeb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LienInternet">
    <w:name w:val="Lien Internet"/>
    <w:uiPriority w:val="99"/>
    <w:rsid w:val="00d3606a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FootnoteTextChar" w:customStyle="1">
    <w:name w:val="Footnote Text Char"/>
    <w:uiPriority w:val="99"/>
    <w:semiHidden/>
    <w:link w:val="FootnoteText"/>
    <w:locked/>
    <w:rsid w:val="00d3606a"/>
    <w:basedOn w:val="DefaultParagraphFont"/>
    <w:rPr>
      <w:sz w:val="20"/>
    </w:rPr>
  </w:style>
  <w:style w:type="character" w:styleId="Footnotereference">
    <w:name w:val="footnote reference"/>
    <w:uiPriority w:val="99"/>
    <w:semiHidden/>
    <w:rsid w:val="00d3606a"/>
    <w:basedOn w:val="DefaultParagraphFont"/>
    <w:rPr>
      <w:rFonts w:cs="Times New Roman"/>
      <w:vertAlign w:val="superscript"/>
    </w:rPr>
  </w:style>
  <w:style w:type="character" w:styleId="Caractresdenotedebasdepage">
    <w:name w:val="Caractères de note de bas de page"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notetext">
    <w:name w:val="footnote text"/>
    <w:uiPriority w:val="99"/>
    <w:semiHidden/>
    <w:link w:val="FootnoteTextChar"/>
    <w:rsid w:val="00d3606a"/>
    <w:basedOn w:val="Normal"/>
    <w:pPr>
      <w:spacing w:lineRule="auto" w:line="240" w:before="0" w:after="0"/>
    </w:pPr>
    <w:rPr>
      <w:sz w:val="20"/>
      <w:szCs w:val="20"/>
    </w:rPr>
  </w:style>
  <w:style w:type="paragraph" w:styleId="Notedebasdepage">
    <w:name w:val="Note de bas de pag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fr.wikipedia.org/wiki/Le_Bord_de_l&apos;eau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2018-09-17T09:08:00Z</dcterms:created>
  <dc:creator>Alain CAILLE</dc:creator>
  <dc:language>fr-FR</dc:language>
  <cp:lastModifiedBy>univ</cp:lastModifiedBy>
  <dcterms:modified xsi:type="dcterms:W3CDTF">2018-09-17T09:08:00Z</dcterms:modified>
  <cp:revision>2</cp:revision>
  <dc:title>Réunion du jeudi 20 septembre 2018</dc:title>
</cp:coreProperties>
</file>